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40" w:rsidRDefault="00693740" w:rsidP="00693740">
      <w:pPr>
        <w:pStyle w:val="Sinespaciado"/>
        <w:jc w:val="both"/>
        <w:rPr>
          <w:rFonts w:ascii="Bookman Old Style" w:hAnsi="Bookman Old Style"/>
          <w:color w:val="000000"/>
          <w:sz w:val="24"/>
          <w:szCs w:val="24"/>
          <w:lang w:eastAsia="es-CO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93740">
        <w:rPr>
          <w:rFonts w:ascii="Bookman Old Style" w:hAnsi="Bookman Old Style"/>
          <w:color w:val="000000"/>
          <w:sz w:val="24"/>
          <w:szCs w:val="24"/>
          <w:lang w:eastAsia="es-CO"/>
        </w:rPr>
        <w:t xml:space="preserve">TEXTO APROBADO, </w:t>
      </w:r>
      <w:r w:rsidRPr="00693740">
        <w:rPr>
          <w:rFonts w:ascii="Bookman Old Style" w:eastAsia="Times New Roman" w:hAnsi="Bookman Old Style"/>
          <w:bCs/>
          <w:color w:val="000000"/>
          <w:sz w:val="24"/>
          <w:szCs w:val="24"/>
          <w:lang w:eastAsia="es-CO"/>
        </w:rPr>
        <w:t>EN LA S</w:t>
      </w:r>
      <w:r w:rsidRPr="00693740">
        <w:rPr>
          <w:rFonts w:ascii="Bookman Old Style" w:hAnsi="Bookman Old Style"/>
          <w:sz w:val="24"/>
          <w:szCs w:val="24"/>
        </w:rPr>
        <w:t xml:space="preserve">ESIÓN ORDINARIA DE LA COMISIÓN QUINTA CONSTITUCIONAL PERMANENTE DE LA CÁMARA DE REPRESENTANTES EL DÍA </w:t>
      </w:r>
      <w:r w:rsidR="00FB5DA7" w:rsidRPr="00693740">
        <w:rPr>
          <w:rFonts w:ascii="Bookman Old Style" w:hAnsi="Bookman Old Style"/>
          <w:sz w:val="24"/>
          <w:szCs w:val="24"/>
        </w:rPr>
        <w:t>5 DE NOVIEMBRE  DE 2019</w:t>
      </w:r>
      <w:r w:rsidRPr="00693740">
        <w:rPr>
          <w:rFonts w:ascii="Bookman Old Style" w:hAnsi="Bookman Old Style"/>
          <w:sz w:val="24"/>
          <w:szCs w:val="24"/>
        </w:rPr>
        <w:t>.</w:t>
      </w: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bookmarkStart w:id="0" w:name="_GoBack"/>
    </w:p>
    <w:p w:rsidR="00693740" w:rsidRPr="00693740" w:rsidRDefault="006F140E" w:rsidP="00693740">
      <w:pPr>
        <w:pStyle w:val="Sinespaciado"/>
        <w:jc w:val="center"/>
        <w:rPr>
          <w:rFonts w:ascii="Bookman Old Style" w:hAnsi="Bookman Old Style" w:cs="Tahoma"/>
          <w:b/>
          <w:sz w:val="24"/>
          <w:szCs w:val="24"/>
        </w:rPr>
      </w:pPr>
      <w:r w:rsidRPr="00693740">
        <w:rPr>
          <w:rFonts w:ascii="Bookman Old Style" w:hAnsi="Bookman Old Style"/>
          <w:sz w:val="24"/>
          <w:szCs w:val="24"/>
        </w:rPr>
        <w:t xml:space="preserve">PROYECTO DE LEY No. </w:t>
      </w:r>
      <w:r w:rsidR="00FB5DA7" w:rsidRPr="00693740">
        <w:rPr>
          <w:rFonts w:ascii="Bookman Old Style" w:hAnsi="Bookman Old Style"/>
          <w:sz w:val="24"/>
          <w:szCs w:val="24"/>
        </w:rPr>
        <w:t>031 de 2019</w:t>
      </w:r>
      <w:r w:rsidRPr="00693740">
        <w:rPr>
          <w:rFonts w:ascii="Bookman Old Style" w:hAnsi="Bookman Old Style"/>
          <w:sz w:val="24"/>
          <w:szCs w:val="24"/>
        </w:rPr>
        <w:t xml:space="preserve"> Cámara,</w:t>
      </w:r>
      <w:r w:rsidRPr="00693740">
        <w:rPr>
          <w:rFonts w:ascii="Bookman Old Style" w:hAnsi="Bookman Old Style"/>
          <w:b/>
          <w:sz w:val="24"/>
          <w:szCs w:val="24"/>
        </w:rPr>
        <w:t xml:space="preserve"> </w:t>
      </w:r>
      <w:r w:rsidR="00693740" w:rsidRPr="00693740">
        <w:rPr>
          <w:rFonts w:ascii="Bookman Old Style" w:hAnsi="Bookman Old Style" w:cs="Tahoma"/>
          <w:b/>
          <w:sz w:val="24"/>
          <w:szCs w:val="24"/>
        </w:rPr>
        <w:t xml:space="preserve"> </w:t>
      </w:r>
      <w:bookmarkEnd w:id="0"/>
      <w:r w:rsidR="00693740" w:rsidRPr="00693740">
        <w:rPr>
          <w:rFonts w:ascii="Bookman Old Style" w:hAnsi="Bookman Old Style" w:cs="Tahoma"/>
          <w:b/>
          <w:sz w:val="24"/>
          <w:szCs w:val="24"/>
        </w:rPr>
        <w:t>“POR MEDIO DEL CUAL SE PROMUEVE LA IMPLEMENTACIÓN DE TECHOS O TERRAZAS VERDES Y SE DICTAN OTRAS DISPOSICIONES”.</w:t>
      </w: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sz w:val="24"/>
          <w:szCs w:val="24"/>
        </w:rPr>
        <w:t xml:space="preserve"> 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Artículo 1. Objetivo.</w:t>
      </w:r>
      <w:r w:rsidRPr="00693740">
        <w:rPr>
          <w:rFonts w:ascii="Bookman Old Style" w:hAnsi="Bookman Old Style" w:cs="Tahoma"/>
          <w:sz w:val="24"/>
          <w:szCs w:val="24"/>
        </w:rPr>
        <w:t xml:space="preserve"> La presente ley tiene por objeto dictar disposiciones en materia de techos o terrazas verdes en pro del desarrollo urbano sostenible y la lucha contra el cambio climático. </w:t>
      </w: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Artículo 2. Definiciones</w:t>
      </w:r>
      <w:r w:rsidRPr="00693740">
        <w:rPr>
          <w:rFonts w:ascii="Bookman Old Style" w:hAnsi="Bookman Old Style" w:cs="Tahoma"/>
          <w:sz w:val="24"/>
          <w:szCs w:val="24"/>
        </w:rPr>
        <w:t>. Para fines de la presente ley se tendrán en cuenta las siguientes definiciones: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  <w:highlight w:val="white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Techos o Terrazas verdes</w:t>
      </w:r>
      <w:r w:rsidRPr="00693740">
        <w:rPr>
          <w:rFonts w:ascii="Bookman Old Style" w:hAnsi="Bookman Old Style" w:cs="Tahoma"/>
          <w:sz w:val="24"/>
          <w:szCs w:val="24"/>
        </w:rPr>
        <w:t xml:space="preserve">: </w:t>
      </w:r>
      <w:r w:rsidRPr="00693740">
        <w:rPr>
          <w:rFonts w:ascii="Bookman Old Style" w:hAnsi="Bookman Old Style" w:cs="Tahoma"/>
          <w:sz w:val="24"/>
          <w:szCs w:val="24"/>
          <w:highlight w:val="white"/>
        </w:rPr>
        <w:t xml:space="preserve">Sistema compuesto por vegetación, sustrato y capas para el drenaje y protección del techo. Puede cubrir parcial o totalmente la cubierta donde se localiza. </w:t>
      </w:r>
      <w:r w:rsidRPr="00693740">
        <w:rPr>
          <w:rFonts w:ascii="Bookman Old Style" w:hAnsi="Bookman Old Style" w:cs="Tahoma"/>
          <w:sz w:val="24"/>
          <w:szCs w:val="24"/>
        </w:rPr>
        <w:t xml:space="preserve">Tecnologías usadas en los techos para </w:t>
      </w:r>
      <w:r w:rsidRPr="00693740">
        <w:rPr>
          <w:rFonts w:ascii="Bookman Old Style" w:hAnsi="Bookman Old Style" w:cs="Tahoma"/>
          <w:sz w:val="24"/>
          <w:szCs w:val="24"/>
          <w:highlight w:val="white"/>
        </w:rPr>
        <w:t>ahorrar el consumo de energía, creación de hábitat, manejo del agua lluvia, entre otros</w:t>
      </w:r>
      <w:r w:rsidRPr="00693740">
        <w:rPr>
          <w:rFonts w:ascii="Bookman Old Style" w:hAnsi="Bookman Old Style" w:cs="Tahoma"/>
          <w:sz w:val="24"/>
          <w:szCs w:val="24"/>
        </w:rPr>
        <w:t>. Es decir, tecnologías con una función ambiental cuyo objetivo es contribuir</w:t>
      </w:r>
      <w:r w:rsidRPr="00693740">
        <w:rPr>
          <w:rFonts w:ascii="Bookman Old Style" w:hAnsi="Bookman Old Style" w:cs="Tahoma"/>
          <w:sz w:val="24"/>
          <w:szCs w:val="24"/>
          <w:highlight w:val="white"/>
        </w:rPr>
        <w:t xml:space="preserve"> al desarrollo urbano sostenible.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  <w:highlight w:val="white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Isla de Calor:</w:t>
      </w:r>
      <w:r w:rsidRPr="00693740">
        <w:rPr>
          <w:rFonts w:ascii="Bookman Old Style" w:hAnsi="Bookman Old Style" w:cs="Tahoma"/>
          <w:sz w:val="24"/>
          <w:szCs w:val="24"/>
        </w:rPr>
        <w:t xml:space="preserve"> Situación de acumulación de energía térmica o incremento de la temperatura </w:t>
      </w:r>
      <w:r w:rsidRPr="00693740">
        <w:rPr>
          <w:rFonts w:ascii="Bookman Old Style" w:hAnsi="Bookman Old Style" w:cs="Tahoma"/>
          <w:sz w:val="24"/>
          <w:szCs w:val="24"/>
          <w:highlight w:val="white"/>
        </w:rPr>
        <w:t xml:space="preserve">en las ciudades debido a alta radiación solar y baja disipación térmica, dada la construcción con materiales que absorben y acumulan el calor a lo largo de las horas de insolación y lo liberan durante la noche impidiendo que bajen las temperaturas. Este término define a las zonas urbanas que presentan temperaturas en promedio más altas que el campo abierto que las rodea. 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Arbolado urbano:</w:t>
      </w:r>
      <w:r w:rsidRPr="00693740">
        <w:rPr>
          <w:rFonts w:ascii="Bookman Old Style" w:hAnsi="Bookman Old Style" w:cs="Tahoma"/>
          <w:sz w:val="24"/>
          <w:szCs w:val="24"/>
        </w:rPr>
        <w:t xml:space="preserve"> conjunto de plantas correspondientes a los biotipos: árbol, arbusto, palma o helecho arborescente, ubicados en suelo urbano. 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Control fitosanitario:</w:t>
      </w:r>
      <w:r w:rsidRPr="00693740">
        <w:rPr>
          <w:rFonts w:ascii="Bookman Old Style" w:hAnsi="Bookman Old Style" w:cs="Tahoma"/>
          <w:sz w:val="24"/>
          <w:szCs w:val="24"/>
        </w:rPr>
        <w:t xml:space="preserve"> actividades de manejo, cuyo objeto es evitar el incremento de las poblaciones de seres vivos que usan una planta o alguna de sus partes como parte de su ciclo vital o como hábitat, por encima de niveles que limiten el adecuado desarrollo y crecimiento de la planta o puedan ocasionar la muerte.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Artículo 3. Reglamentación.</w:t>
      </w:r>
      <w:r w:rsidRPr="00693740">
        <w:rPr>
          <w:rFonts w:ascii="Bookman Old Style" w:hAnsi="Bookman Old Style" w:cs="Tahoma"/>
          <w:sz w:val="24"/>
          <w:szCs w:val="24"/>
        </w:rPr>
        <w:t xml:space="preserve"> Le corresponde al Ministerio de Ambiente y Desarrollo Sostenible y al Ministerio de Vivienda, Ciudad y Territorio, en un periodo no mayor a 1 año a partir de la vigencia de la presente ley, en coordinación con la academia, las entidades especializadas de carácter no comercial, y las entidades regionales competentes, reglamentar los aspectos técnicos que considere convenientes para la correcta implementación, seguimiento y control de los denominados techos o terrazas verdes, teniendo en cuenta las características de cada zona del país.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 xml:space="preserve">Artículo 4. Aplicación. </w:t>
      </w:r>
      <w:r w:rsidRPr="00693740">
        <w:rPr>
          <w:rFonts w:ascii="Bookman Old Style" w:hAnsi="Bookman Old Style" w:cs="Tahoma"/>
          <w:sz w:val="24"/>
          <w:szCs w:val="24"/>
        </w:rPr>
        <w:t>A partir de la expedición de la reglamentación de que trata el artículo anterior, las empresas constructoras tendrán la obligación de instalar techos o terrazas verdes en los proyectos de edificios nuevos con fines comerciales.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  <w:highlight w:val="white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  <w:highlight w:val="white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  <w:highlight w:val="white"/>
        </w:rPr>
      </w:pPr>
      <w:r w:rsidRPr="00693740">
        <w:rPr>
          <w:rFonts w:ascii="Bookman Old Style" w:hAnsi="Bookman Old Style" w:cs="Tahoma"/>
          <w:b/>
          <w:sz w:val="24"/>
          <w:szCs w:val="24"/>
          <w:highlight w:val="white"/>
        </w:rPr>
        <w:t xml:space="preserve">Artículo 5. Edificios estatales. </w:t>
      </w:r>
      <w:r w:rsidRPr="00693740">
        <w:rPr>
          <w:rFonts w:ascii="Bookman Old Style" w:hAnsi="Bookman Old Style" w:cs="Tahoma"/>
          <w:sz w:val="24"/>
          <w:szCs w:val="24"/>
          <w:highlight w:val="white"/>
        </w:rPr>
        <w:t xml:space="preserve">En un periodo máximo de 1 año a partir de la vigencia de la presente ley, el gobierno nacional en coordinación con las entidades territoriales deberá crear un plan de incorporación gradual de infraestructura verde, sostenible y </w:t>
      </w:r>
      <w:proofErr w:type="spellStart"/>
      <w:r w:rsidRPr="00693740">
        <w:rPr>
          <w:rFonts w:ascii="Bookman Old Style" w:hAnsi="Bookman Old Style" w:cs="Tahoma"/>
          <w:sz w:val="24"/>
          <w:szCs w:val="24"/>
          <w:highlight w:val="white"/>
        </w:rPr>
        <w:t>resiliente</w:t>
      </w:r>
      <w:proofErr w:type="spellEnd"/>
      <w:r w:rsidRPr="00693740">
        <w:rPr>
          <w:rFonts w:ascii="Bookman Old Style" w:hAnsi="Bookman Old Style" w:cs="Tahoma"/>
          <w:sz w:val="24"/>
          <w:szCs w:val="24"/>
          <w:highlight w:val="white"/>
        </w:rPr>
        <w:t xml:space="preserve"> en los edificios estatales. Priorizando las edificaciones con un mayor impacto.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 xml:space="preserve">Artículo 6. Incentivos para la adopción o implementación de techos o terrazas verdes. </w:t>
      </w:r>
      <w:r w:rsidRPr="00693740">
        <w:rPr>
          <w:rFonts w:ascii="Bookman Old Style" w:hAnsi="Bookman Old Style" w:cs="Tahoma"/>
          <w:sz w:val="24"/>
          <w:szCs w:val="24"/>
        </w:rPr>
        <w:t>El gobierno reglamentará, en cabeza del Ministerio de Ambiente y Desarrollo Sostenible y del Ministerio de Vivienda, Ciudad y Territorio, en un periodo máximo de 2 años a partir de la vigencia de la presente ley, los incentivos pertinentes para la adopción o implementación de techos o terrazas verdes aplicables a las edificaciones con fines no comerciales.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 w:rsidRPr="00693740">
        <w:rPr>
          <w:rFonts w:ascii="Bookman Old Style" w:hAnsi="Bookman Old Style" w:cs="Tahoma"/>
          <w:b/>
          <w:sz w:val="24"/>
          <w:szCs w:val="24"/>
        </w:rPr>
        <w:t>Parágrafo.</w:t>
      </w:r>
      <w:r w:rsidRPr="00693740">
        <w:rPr>
          <w:rFonts w:ascii="Bookman Old Style" w:hAnsi="Bookman Old Style" w:cs="Tahoma"/>
          <w:sz w:val="24"/>
          <w:szCs w:val="24"/>
        </w:rPr>
        <w:t xml:space="preserve"> Lo anterior sin detrimento de lo establecido en la Resolución No 0549 del 2015, expedida por el Ministerio de Vivienda, Ciudad y Territorio.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  <w:highlight w:val="white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Artículo 7</w:t>
      </w:r>
      <w:r w:rsidRPr="00693740">
        <w:rPr>
          <w:rFonts w:ascii="Bookman Old Style" w:hAnsi="Bookman Old Style" w:cs="Tahoma"/>
          <w:sz w:val="24"/>
          <w:szCs w:val="24"/>
        </w:rPr>
        <w:t xml:space="preserve">. </w:t>
      </w:r>
      <w:r w:rsidRPr="00693740">
        <w:rPr>
          <w:rFonts w:ascii="Bookman Old Style" w:hAnsi="Bookman Old Style" w:cs="Tahoma"/>
          <w:b/>
          <w:sz w:val="24"/>
          <w:szCs w:val="24"/>
        </w:rPr>
        <w:t>Mecanismo de sanciones.</w:t>
      </w:r>
      <w:r w:rsidRPr="00693740">
        <w:rPr>
          <w:rFonts w:ascii="Bookman Old Style" w:hAnsi="Bookman Old Style" w:cs="Tahoma"/>
          <w:sz w:val="24"/>
          <w:szCs w:val="24"/>
        </w:rPr>
        <w:t xml:space="preserve"> El Ministerio de Ambiente y Desarrollo Sostenible, será el encargado de estructurar las sanciones pertinentes y de establecer las líneas idóneas de corrección cuando las entidades públicas o privadas no cumplan lo estipulado en la presente ley.</w:t>
      </w: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Artículo 8</w:t>
      </w:r>
      <w:r w:rsidRPr="00693740">
        <w:rPr>
          <w:rFonts w:ascii="Bookman Old Style" w:hAnsi="Bookman Old Style" w:cs="Tahoma"/>
          <w:b/>
          <w:sz w:val="24"/>
          <w:szCs w:val="24"/>
        </w:rPr>
        <w:t xml:space="preserve">. Certificados. </w:t>
      </w:r>
      <w:r w:rsidRPr="00693740">
        <w:rPr>
          <w:rFonts w:ascii="Bookman Old Style" w:hAnsi="Bookman Old Style" w:cs="Tahoma"/>
          <w:sz w:val="24"/>
          <w:szCs w:val="24"/>
        </w:rPr>
        <w:t xml:space="preserve">El Ministerio de Vivienda, Ciudad y Territorio, en periodo máximo de 1 año a partir de la vigencia de la presente ley, será la entidad encargada de reglamentar y emitir la certificación de techos o terrazas verdes de que trata la presente ley. </w:t>
      </w: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</w:p>
    <w:p w:rsidR="00693740" w:rsidRDefault="00693740" w:rsidP="00693740">
      <w:pPr>
        <w:pStyle w:val="Sinespaciad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Artículo 9</w:t>
      </w:r>
      <w:r w:rsidRPr="00693740">
        <w:rPr>
          <w:rFonts w:ascii="Bookman Old Style" w:hAnsi="Bookman Old Style" w:cs="Tahoma"/>
          <w:b/>
          <w:sz w:val="24"/>
          <w:szCs w:val="24"/>
        </w:rPr>
        <w:t>. Vigencia.</w:t>
      </w:r>
      <w:r w:rsidRPr="00693740">
        <w:rPr>
          <w:rFonts w:ascii="Bookman Old Style" w:hAnsi="Bookman Old Style" w:cs="Tahoma"/>
          <w:sz w:val="24"/>
          <w:szCs w:val="24"/>
        </w:rPr>
        <w:t xml:space="preserve"> La presente ley rige a partir de su publicación y deroga todas las demás disposiciones que le sean contrarias. </w:t>
      </w:r>
    </w:p>
    <w:p w:rsidR="00807B26" w:rsidRPr="00693740" w:rsidRDefault="00807B26" w:rsidP="00693740">
      <w:pPr>
        <w:pStyle w:val="Sinespaciado"/>
        <w:jc w:val="both"/>
        <w:rPr>
          <w:rFonts w:ascii="Bookman Old Style" w:eastAsiaTheme="minorHAnsi" w:hAnsi="Bookman Old Style"/>
          <w:sz w:val="24"/>
          <w:szCs w:val="24"/>
        </w:rPr>
      </w:pPr>
    </w:p>
    <w:p w:rsidR="00807B26" w:rsidRPr="00693740" w:rsidRDefault="00807B26" w:rsidP="00693740">
      <w:pPr>
        <w:pStyle w:val="Sinespaciado"/>
        <w:jc w:val="both"/>
        <w:rPr>
          <w:rFonts w:ascii="Bookman Old Style" w:eastAsiaTheme="minorHAnsi" w:hAnsi="Bookman Old Style"/>
          <w:sz w:val="24"/>
          <w:szCs w:val="24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eastAsiaTheme="minorHAnsi" w:hAnsi="Bookman Old Style"/>
          <w:sz w:val="24"/>
          <w:szCs w:val="24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eastAsiaTheme="minorHAnsi" w:hAnsi="Bookman Old Style"/>
          <w:sz w:val="24"/>
          <w:szCs w:val="24"/>
        </w:rPr>
      </w:pPr>
    </w:p>
    <w:p w:rsidR="006F140E" w:rsidRPr="00693740" w:rsidRDefault="00FB5DA7" w:rsidP="00693740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693740">
        <w:rPr>
          <w:rFonts w:ascii="Bookman Old Style" w:hAnsi="Bookman Old Style"/>
          <w:b/>
          <w:sz w:val="24"/>
          <w:szCs w:val="24"/>
        </w:rPr>
        <w:t>CESAR AUGUSTO ORTIZ ZORRO</w:t>
      </w:r>
    </w:p>
    <w:p w:rsidR="00FB5DA7" w:rsidRPr="00693740" w:rsidRDefault="00FB5DA7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93740">
        <w:rPr>
          <w:rFonts w:ascii="Bookman Old Style" w:hAnsi="Bookman Old Style"/>
          <w:b/>
          <w:sz w:val="24"/>
          <w:szCs w:val="24"/>
        </w:rPr>
        <w:t>Ponente.</w:t>
      </w: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693740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93740">
        <w:rPr>
          <w:rFonts w:ascii="Bookman Old Style" w:hAnsi="Bookman Old Style"/>
          <w:sz w:val="24"/>
          <w:szCs w:val="24"/>
        </w:rPr>
        <w:t>La relación completa de la aprobación en primer debate del Proyecto de Ley consta en la Acta No. 0</w:t>
      </w:r>
      <w:r w:rsidR="00FB5DA7" w:rsidRPr="00693740">
        <w:rPr>
          <w:rFonts w:ascii="Bookman Old Style" w:hAnsi="Bookman Old Style"/>
          <w:sz w:val="24"/>
          <w:szCs w:val="24"/>
        </w:rPr>
        <w:t>12</w:t>
      </w:r>
      <w:r w:rsidRPr="00693740">
        <w:rPr>
          <w:rFonts w:ascii="Bookman Old Style" w:hAnsi="Bookman Old Style"/>
          <w:sz w:val="24"/>
          <w:szCs w:val="24"/>
        </w:rPr>
        <w:t xml:space="preserve"> correspondiente a la sesión realizada el día </w:t>
      </w:r>
      <w:r w:rsidR="00FB5DA7" w:rsidRPr="00693740">
        <w:rPr>
          <w:rFonts w:ascii="Bookman Old Style" w:hAnsi="Bookman Old Style"/>
          <w:sz w:val="24"/>
          <w:szCs w:val="24"/>
        </w:rPr>
        <w:t>5 de noviembre 2019</w:t>
      </w:r>
      <w:r w:rsidRPr="00693740">
        <w:rPr>
          <w:rFonts w:ascii="Bookman Old Style" w:hAnsi="Bookman Old Style"/>
          <w:sz w:val="24"/>
          <w:szCs w:val="24"/>
        </w:rPr>
        <w:t xml:space="preserve">; el anuncio de la votación del proyecto de ley se hizo el día </w:t>
      </w:r>
      <w:r w:rsidR="00693740" w:rsidRPr="00693740">
        <w:rPr>
          <w:rFonts w:ascii="Bookman Old Style" w:hAnsi="Bookman Old Style"/>
          <w:sz w:val="24"/>
          <w:szCs w:val="24"/>
        </w:rPr>
        <w:t>el 30 de octubre de 2019, Acta No. 01</w:t>
      </w:r>
      <w:r w:rsidR="00693740">
        <w:rPr>
          <w:rFonts w:ascii="Bookman Old Style" w:hAnsi="Bookman Old Style"/>
          <w:sz w:val="24"/>
          <w:szCs w:val="24"/>
        </w:rPr>
        <w:t>1</w:t>
      </w:r>
      <w:r w:rsidR="00693740" w:rsidRPr="00693740">
        <w:rPr>
          <w:rFonts w:ascii="Bookman Old Style" w:hAnsi="Bookman Old Style"/>
          <w:sz w:val="24"/>
          <w:szCs w:val="24"/>
        </w:rPr>
        <w:t xml:space="preserve">, de acuerdo con el Artículo 8 del Acto Legislativo 1 de 2003. </w:t>
      </w: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693740" w:rsidRPr="00693740" w:rsidRDefault="00693740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93740">
        <w:rPr>
          <w:rFonts w:ascii="Bookman Old Style" w:hAnsi="Bookman Old Style"/>
          <w:sz w:val="24"/>
          <w:szCs w:val="24"/>
        </w:rPr>
        <w:t xml:space="preserve">JAIR JOSÉ </w:t>
      </w:r>
      <w:proofErr w:type="spellStart"/>
      <w:r w:rsidRPr="00693740">
        <w:rPr>
          <w:rFonts w:ascii="Bookman Old Style" w:hAnsi="Bookman Old Style"/>
          <w:sz w:val="24"/>
          <w:szCs w:val="24"/>
        </w:rPr>
        <w:t>EBRATT</w:t>
      </w:r>
      <w:proofErr w:type="spellEnd"/>
      <w:r w:rsidRPr="00693740">
        <w:rPr>
          <w:rFonts w:ascii="Bookman Old Style" w:hAnsi="Bookman Old Style"/>
          <w:sz w:val="24"/>
          <w:szCs w:val="24"/>
        </w:rPr>
        <w:t xml:space="preserve"> DÍAZ</w:t>
      </w: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93740">
        <w:rPr>
          <w:rFonts w:ascii="Bookman Old Style" w:hAnsi="Bookman Old Style"/>
          <w:sz w:val="24"/>
          <w:szCs w:val="24"/>
        </w:rPr>
        <w:t>Secretario Comisión Quinta</w:t>
      </w: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  <w:r w:rsidRPr="00693740">
        <w:rPr>
          <w:rFonts w:ascii="Bookman Old Style" w:hAnsi="Bookman Old Style"/>
          <w:sz w:val="24"/>
          <w:szCs w:val="24"/>
        </w:rPr>
        <w:t>Cámara de Representantes</w:t>
      </w:r>
    </w:p>
    <w:p w:rsidR="006F140E" w:rsidRPr="00693740" w:rsidRDefault="006F140E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p w:rsidR="00462917" w:rsidRPr="00693740" w:rsidRDefault="00462917" w:rsidP="00693740">
      <w:pPr>
        <w:pStyle w:val="Sinespaciado"/>
        <w:jc w:val="both"/>
        <w:rPr>
          <w:rFonts w:ascii="Bookman Old Style" w:hAnsi="Bookman Old Style"/>
          <w:sz w:val="24"/>
          <w:szCs w:val="24"/>
        </w:rPr>
      </w:pPr>
    </w:p>
    <w:sectPr w:rsidR="00462917" w:rsidRPr="006937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FE" w:rsidRDefault="00485800">
      <w:r>
        <w:separator/>
      </w:r>
    </w:p>
  </w:endnote>
  <w:endnote w:type="continuationSeparator" w:id="0">
    <w:p w:rsidR="00BA31FE" w:rsidRDefault="0048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FE" w:rsidRDefault="00485800">
      <w:r>
        <w:separator/>
      </w:r>
    </w:p>
  </w:footnote>
  <w:footnote w:type="continuationSeparator" w:id="0">
    <w:p w:rsidR="00BA31FE" w:rsidRDefault="0048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CC4" w:rsidRDefault="006F140E" w:rsidP="008B0CC4">
    <w:pPr>
      <w:pStyle w:val="Encabezado"/>
      <w:jc w:val="center"/>
    </w:pPr>
    <w:r w:rsidRPr="00117983">
      <w:rPr>
        <w:rFonts w:ascii="Arial" w:eastAsia="Arial Unicode MS" w:hAnsi="Arial" w:cs="Arial"/>
        <w:noProof/>
        <w:spacing w:val="60"/>
        <w:lang w:val="es-CO" w:eastAsia="es-CO"/>
      </w:rPr>
      <w:drawing>
        <wp:inline distT="0" distB="0" distL="0" distR="0" wp14:anchorId="60EAB90A" wp14:editId="27C99BF6">
          <wp:extent cx="2308485" cy="71597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62" cy="71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CC4" w:rsidRDefault="006937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4DE5"/>
    <w:multiLevelType w:val="hybridMultilevel"/>
    <w:tmpl w:val="10560E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14FD"/>
    <w:multiLevelType w:val="hybridMultilevel"/>
    <w:tmpl w:val="B404A9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63532"/>
    <w:multiLevelType w:val="hybridMultilevel"/>
    <w:tmpl w:val="2B8CED7C"/>
    <w:lvl w:ilvl="0" w:tplc="49105EC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647FE5"/>
    <w:multiLevelType w:val="hybridMultilevel"/>
    <w:tmpl w:val="8C6A3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30776"/>
    <w:multiLevelType w:val="hybridMultilevel"/>
    <w:tmpl w:val="C0FE7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600EC"/>
    <w:multiLevelType w:val="hybridMultilevel"/>
    <w:tmpl w:val="070A6808"/>
    <w:lvl w:ilvl="0" w:tplc="5D8E7EA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A41F5"/>
    <w:multiLevelType w:val="hybridMultilevel"/>
    <w:tmpl w:val="10B8D6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E"/>
    <w:rsid w:val="00300434"/>
    <w:rsid w:val="00462917"/>
    <w:rsid w:val="00485800"/>
    <w:rsid w:val="004860D8"/>
    <w:rsid w:val="005A6A94"/>
    <w:rsid w:val="00601846"/>
    <w:rsid w:val="00693740"/>
    <w:rsid w:val="006E43C0"/>
    <w:rsid w:val="006F140E"/>
    <w:rsid w:val="00807B26"/>
    <w:rsid w:val="00915A1E"/>
    <w:rsid w:val="00AB33A1"/>
    <w:rsid w:val="00BA31FE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6E9274-019C-4883-8756-901095D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egundo nivel de viñetas,List Paragraph1,titulo 3,Párrafo de lista1,Lista vistosa - Énfasis 11,Segundo nivel de vi–etas,List Paragraph"/>
    <w:basedOn w:val="Normal"/>
    <w:link w:val="PrrafodelistaCar"/>
    <w:uiPriority w:val="34"/>
    <w:qFormat/>
    <w:rsid w:val="006F14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aliases w:val="Segundo nivel de viñetas Car,List Paragraph1 Car,titulo 3 Car,Párrafo de lista1 Car,Lista vistosa - Énfasis 11 Car,Segundo nivel de vi–etas Car,List Paragraph Car"/>
    <w:basedOn w:val="Fuentedeprrafopredeter"/>
    <w:link w:val="Prrafodelista"/>
    <w:uiPriority w:val="34"/>
    <w:locked/>
    <w:rsid w:val="006F140E"/>
    <w:rPr>
      <w:lang w:val="en-US"/>
    </w:rPr>
  </w:style>
  <w:style w:type="paragraph" w:customStyle="1" w:styleId="xmsonormal">
    <w:name w:val="x_msonormal"/>
    <w:basedOn w:val="Normal"/>
    <w:rsid w:val="006F140E"/>
    <w:rPr>
      <w:rFonts w:eastAsiaTheme="minorHAnsi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6F1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4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F14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6F140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8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80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CD29-0CF7-42BC-85EA-5736DC37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cp:lastPrinted>2019-05-24T17:32:00Z</cp:lastPrinted>
  <dcterms:created xsi:type="dcterms:W3CDTF">2019-11-14T21:02:00Z</dcterms:created>
  <dcterms:modified xsi:type="dcterms:W3CDTF">2019-11-14T21:11:00Z</dcterms:modified>
</cp:coreProperties>
</file>